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AG_REGIERUNGSRAT RRB Nr. 2023-001009 vom 30. August 2023</w:t>
      </w:r>
    </w:p>
    <w:p>
      <w:r>
        <w:t>Ag Regierungsrat, 2023-08-30, DE</w:t>
      </w:r>
    </w:p>
    <w:p>
      <w:r>
        <w:rPr>
          <w:b/>
        </w:rPr>
        <w:t xml:space="preserve">Quelle: </w:t>
      </w:r>
      <w:r>
        <w:t>https://mcp.opencaselaw.ch/entscheid/ag_regierungsrat_RRB Nr. 2023-001009</w:t>
      </w:r>
    </w:p>
    <w:p>
      <w:r>
        <w:t>FR: AG_REGIERUNGSRAT RRB Nr. 2023-001009 du 30 août 2023</w:t>
      </w:r>
    </w:p>
    <w:p>
      <w:r>
        <w:t>IT: AG_REGIERUNGSRAT RRB Nr. 2023-001009 del 30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Beschwerdeführenden verlangen mit dem Beschwerdeantrag 3 eventualiter die Sistierung des Verfahrens, bis ein Grundsatzentscheid des Bundesgerichts bezüglich adaptiver Antennen vorliegt. Mit dem Urteil des Bundesgerichts 1C_100/2021 vom 14. Februar 2023 ist der von den Beschwerde- führenden geforderte Grundsatzentscheid ergangen. Da der geltend gemachte Sistierungsgrund da- mit weggefallen ist, steht eine Sistierung des vorliegenden Verfahrens ausser Frage. Der Beschwer- deantrag 3 ist deshalb abzuweisen.</w:t>
      </w:r>
    </w:p>
    <w:p>
      <w:r>
        <w:rPr>
          <w:b/>
        </w:rPr>
        <w:t>E. 2</w:t>
      </w:r>
    </w:p>
    <w:p>
      <w:r>
        <w:t>Die Beschwerdeführenden verlangen mit dem Beschwerdeantrag 2 eventualiter die Feststellung, dass Ziff. 63 von Anhang 1 der Verordnung über den Schutz vor nichtionisierender Strahlung (NISV) vom 23. Dezember 1999 gesetzeswidrig ist und bezüglich der Anlage keine Korrekturfaktoren ange- wendet werden dürfen. Feststellungsbegehren sind im Verhältnis zu Leistungs- oder Gestaltungsbegehren subsidiär. Sie sind grundsätzlich nur zulässig, sofern an der Feststellung ein aktuelles schutzwürdiges Interesse besteht und dieses nicht ebenso gut mit einem Leistungs- oder Gestaltungsbegehren gewahrt wer- den kann (BGE 142 V 2 E. 1.1; Urteil 8C_237/2017 vom 4. Oktober 2017 E. 1 mit Hinweisen). Im All- gemeinen sieht das Bundesgericht ausnahmsweise vom Erfordernis eines aktuellen Rechtsschutzin- teresses ab, wenn sich die mit der Beschwerde aufgeworfenen Fragen jeweils unter gleichen Um- ständen wieder stellen könnten, an ihrer Beantwortung wegen ihrer grundsätzlichen Bedeutung ein hinreichendes öffentliches Interesse besteht und im Einzelfall eine rechtzeitige Prüfung kaum je mög- lich wäre (Urteil des Bundesgerichts 6B_1145/2021 vom 4. Juli 2022 E. 4 mit Hinweisen). Vorliegend kommen keine Korrekturfaktoren zur Anwendung, weshalb die Antennenanlage wie eine konventionelle Antenne zu behandeln ist (vgl. Stellungnahme der Abteilung für Umwelt BVU vom 1. September 2023, S. 4 zweitletzter Absatz, act. 145). Infolgedessen besteht diesbezüglich nach der</w:t>
      </w:r>
    </w:p>
    <w:p>
      <w:r>
        <w:t>bundesgerichtlichen Rechtsprechung kein aktuelles Feststellungsinteresse (vgl. Urteil des Bundes- gerichts 1C_153/2022 vom 11. April 2023 E. 7.2, in welchem das Bundesgericht diese Frage offen- liess). Demgegenüber kann über die Frage der Rechtmässigkeit der Korrekturfaktoren und deren An- wendung einzig im Zusammenhang mit einem allfälligen konkreten Begehren im Einzelfall entschie- den werden; allerdings muss dies nach der Praxis des Regierungsrats im ordentlichen Baubewilli- gungsverfahren beurteilt werden (RRB Nr. 2021-001491 vom 22. Dezember 2021, Erw. 1.1).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